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5F09B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23C1EEDA" wp14:editId="61F4DF9C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2C2FC5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7D315AA6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96F9A7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7985094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1B82B63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C14739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4D6478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90341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0957AAF" w14:textId="73E4C661" w:rsidR="00CB72ED" w:rsidRPr="00B96B4F" w:rsidRDefault="00607A6E" w:rsidP="007209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Computational Chemistry and Molecular Modeling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2B0DD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2BFA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2D4E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32B06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A135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78D22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C65BD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9C461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CBF939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C8E5D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8C5270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2394156" w14:textId="0B1BE4DE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 xml:space="preserve">CCMM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6E4D9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74376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22597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73271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355D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B4367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3F00E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5E73AA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1A48E6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0F7BD6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7B2973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0319B1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A188C5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ACBBEA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C5F024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3880B5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526CBA4" w14:textId="37A3F242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 w:cs="Arial"/>
                <w:b/>
                <w:sz w:val="18"/>
                <w:szCs w:val="18"/>
              </w:rPr>
              <w:t>II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A386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3E85F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99F5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1659F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2ADD1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51C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93E77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A4AE4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1DA2815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E48A9B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4ECB0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CBE7B9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2980043" w14:textId="1844C118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 w:cs="Arial"/>
                <w:b/>
                <w:sz w:val="18"/>
                <w:szCs w:val="18"/>
              </w:rPr>
              <w:t>IV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40211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5CEB5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622AF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BBC5C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4306E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1032B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1967C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CE09D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84259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463194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2FEF8C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7F8C1B5D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35C74C4" w14:textId="7750C15F" w:rsidR="00CB72ED" w:rsidRPr="00B96B4F" w:rsidRDefault="00607A6E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8413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A50F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CF8601E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D02AF0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2B017D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4B9BB7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105B7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4F75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A4D7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8854D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D04DB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E5457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9FEED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459126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23DB4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437719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6C9967FE" w14:textId="26606DE0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CD9397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0D5A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47D7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3504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8F136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C60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03F06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90BF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7E119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7506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E19E8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B01247D" w14:textId="0FD525BF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AEC37A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8BC0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B6189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EEBC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CFEE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F145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6093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2ABE3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131FD89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7C4C0F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E9D4F0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CCFDD3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6D670270" w14:textId="7F15CAAD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3D5730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EA9D1FE" w14:textId="020D5B31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867F4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1C9AE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DE7DC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30F01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1B132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5F4B2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76E3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08507E9" w14:textId="77777777" w:rsidTr="004E556A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21CE34C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vAlign w:val="center"/>
          </w:tcPr>
          <w:p w14:paraId="7ECB18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4DAA45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1A8D4FC9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3A9934" w14:textId="55702285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751428CB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DE9D6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10B07469" w14:textId="77777777"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5C6EA66D" w14:textId="77777777"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14:paraId="1BF38BFA" w14:textId="77777777"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 w14:paraId="16594CCB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6389F89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F12F6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578FC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D8409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6D6EE6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28012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E9BD33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7AE3C855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954C0" w14:textId="49E9193E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8504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D1F11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6DBAB2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0319B" w14:textId="0626CDEC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33.75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D695C4E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0B02988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7DA272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FE0B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3C10EE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09070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0321C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99427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5E07059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F1361" w14:textId="0E7A3099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4744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2BC40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9CB274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6BF65" w14:textId="0875DE43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73.71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93DE579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6897684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138779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F3CCA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6A3499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EF3DE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CA0A0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EBAD6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06992F5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A1B62" w14:textId="2FD90B71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B965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1227B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448FCB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D20AF" w14:textId="62DF695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>
              <w:rPr>
                <w:rFonts w:asciiTheme="majorHAnsi" w:hAnsiTheme="majorHAnsi" w:cs="Arial"/>
                <w:b/>
                <w:sz w:val="18"/>
                <w:szCs w:val="18"/>
              </w:rPr>
              <w:t>107.46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4E556A" w:rsidRPr="00B96B4F" w14:paraId="638A1710" w14:textId="77777777" w:rsidTr="00DA2BAA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3368C587" w14:textId="77777777" w:rsidR="004E556A" w:rsidRPr="00B96B4F" w:rsidRDefault="004E556A" w:rsidP="00DA2BAA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56E95FF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E7D3C32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57AF47F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9029E08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4754FFB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E556A" w:rsidRPr="00B96B4F" w14:paraId="0428051B" w14:textId="77777777" w:rsidTr="00DA2BAA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43A3BA92" w14:textId="77777777" w:rsidR="004E556A" w:rsidRPr="00B96B4F" w:rsidRDefault="004E556A" w:rsidP="004E556A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</w:t>
            </w:r>
            <w:r w:rsidRPr="004E556A">
              <w:rPr>
                <w:rFonts w:asciiTheme="majorHAnsi" w:hAnsiTheme="majorHAnsi" w:cs="Arial"/>
                <w:b/>
                <w:sz w:val="18"/>
                <w:szCs w:val="18"/>
              </w:rPr>
              <w:t>ther forms of teaching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9533E" w14:textId="2759DAB0" w:rsidR="004E556A" w:rsidRPr="00B96B4F" w:rsidRDefault="00607A6E" w:rsidP="00DA2B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25A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E556A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3B7A6A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42F51" w14:textId="77777777" w:rsidR="004E556A" w:rsidRPr="00B96B4F" w:rsidRDefault="00607A6E" w:rsidP="00DA2B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76B29A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0E5885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50BE4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44BFE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27798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11AE2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F7A71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71474F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52976A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BAE5F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A33B38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6D811E8" w14:textId="5C46FC88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Sciences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14A12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7ABE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BF19F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F86BB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CD9A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B77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87D9D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C2200D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77F4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DC8D3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439B9C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6F86DF84" w14:textId="59AF85BA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Chemistry/Chemistry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93F39D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98AD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D3C808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51B2E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EC96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F329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E87E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DA59B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99A742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66B2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8BA799A" w14:textId="77777777" w:rsidTr="004E556A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6AFFE46" w14:textId="674CDFBE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Prof. Dr. Mersiha Suljkanović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21D7A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D7EF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B0415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AA15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0503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95FD2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182A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F4CC3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5B9D0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4E51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4A2C16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E4B2A4D" w14:textId="3FC51961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Introducing students to modern computational methods used to interpret and predict the structure and reactivity of molecules and molecular aggregates.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19C798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2E1B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95B84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70843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0CD5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E5ACE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C9EC2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3A18A9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EF9D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6876C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A996E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74E4B3F" w14:textId="12912ADB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Students are expected to understand the purpose of applying computational methods to predict molecular structure, reactivity, molecular dynamics, as well as the efficiency of the methods used.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130C4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0F5F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2CECE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2DB5F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FBBD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8A186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7A572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487E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E235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2B8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40A80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EDD84EB" w14:textId="16F0270D" w:rsidR="00EB25A4" w:rsidRPr="00EB25A4" w:rsidRDefault="00607A6E" w:rsidP="00EB25A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Overview of computational methods for interpreting and predicting molecular structure and reactivity.</w:t>
            </w:r>
          </w:p>
          <w:p w14:paraId="0CEE7D11" w14:textId="03C92A30" w:rsidR="00CB72ED" w:rsidRPr="00B96B4F" w:rsidRDefault="00EB25A4" w:rsidP="00EB25A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B25A4">
              <w:rPr>
                <w:rFonts w:asciiTheme="majorHAnsi" w:hAnsiTheme="majorHAnsi" w:cs="Arial"/>
                <w:b/>
                <w:sz w:val="18"/>
                <w:szCs w:val="18"/>
              </w:rPr>
              <w:t>Structure of computational programs; optimization techniques: molecular mechanics and dynamics, quantum mechanical methods—semiempirical, ab initio, DFT, and VB methods.Evaluation of method performance and applicability to specific problems: prediction of molecular structures of small molecules and macromolecules; prediction of their reactivity through modeling of transition states, excited states, and stereoelectronic properties; intermolecular interactions; solvent effects.Use of graphical representations of molecular models, conformational analysis, and spectrum simulation.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4C24C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F7BE1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81F3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757D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5275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62A4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9482F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918848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12C6E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A8DC4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AAFA5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CA25531" w14:textId="39F8184A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B25A4" w:rsidRPr="00EB25A4">
              <w:rPr>
                <w:rFonts w:asciiTheme="majorHAnsi" w:hAnsiTheme="majorHAnsi" w:cs="Arial"/>
                <w:b/>
                <w:sz w:val="18"/>
                <w:szCs w:val="18"/>
              </w:rPr>
              <w:t>Lectures delivered by the instructor, discussions and consultations between students and the course instructor, and independent preparation of a seminar paper.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57CE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5399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273F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AB37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6DEF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D77F9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E9DFF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F8CDD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9874D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AECC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11C00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14A506C" w14:textId="77777777" w:rsidR="00816CA0" w:rsidRPr="00816CA0" w:rsidRDefault="00607A6E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16CA0" w:rsidRPr="00816CA0">
              <w:rPr>
                <w:rFonts w:asciiTheme="majorHAnsi" w:hAnsiTheme="majorHAnsi" w:cs="Arial"/>
                <w:b/>
                <w:sz w:val="18"/>
                <w:szCs w:val="18"/>
              </w:rPr>
              <w:t>Student assessment is carried out using the following methods: tests (midterm exams), a seminar paper, and a final exam.</w:t>
            </w:r>
          </w:p>
          <w:p w14:paraId="0AFC1063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– Class participation: maximum 5 points</w:t>
            </w:r>
          </w:p>
          <w:p w14:paraId="030D4E94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– Two tests (first and second midterms): maximum 2 × 15 points</w:t>
            </w:r>
          </w:p>
          <w:p w14:paraId="308C487A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– Seminar paper in the course field: 15 points</w:t>
            </w:r>
          </w:p>
          <w:p w14:paraId="10C53975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– Final exam: maximum 50 points</w:t>
            </w:r>
          </w:p>
          <w:p w14:paraId="65FE2D03" w14:textId="3E2F46BF" w:rsidR="00CB72ED" w:rsidRPr="00B96B4F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886A3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FFC0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07A7C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60E6F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2E44C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B5459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DF65E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68C4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5FE02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28058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7A58A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05F0E03" w14:textId="25F2B898" w:rsidR="00816CA0" w:rsidRPr="00816CA0" w:rsidRDefault="00607A6E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16CA0" w:rsidRPr="00816CA0">
              <w:rPr>
                <w:rFonts w:asciiTheme="majorHAnsi" w:hAnsiTheme="majorHAnsi" w:cs="Arial"/>
                <w:b/>
                <w:sz w:val="18"/>
                <w:szCs w:val="18"/>
              </w:rPr>
              <w:t>Pre-exam requirements: Tests: 30%; Seminar paper: 15%; Student activity: 5%.</w:t>
            </w:r>
          </w:p>
          <w:p w14:paraId="781199B2" w14:textId="6BA072FC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Final exam: 50%.To pass the course, a student must achieve a minimum of 55 cumulative points.</w:t>
            </w:r>
          </w:p>
          <w:p w14:paraId="4705520C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Grading system:</w:t>
            </w:r>
          </w:p>
          <w:p w14:paraId="322976B8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Grade 6 (sufficient): 55–64 points</w:t>
            </w:r>
          </w:p>
          <w:p w14:paraId="7BBC3AF2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Grade 7 (good): 65–74 points</w:t>
            </w:r>
          </w:p>
          <w:p w14:paraId="7F2E4867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Grade 8 (very good): 75–84 points</w:t>
            </w:r>
          </w:p>
          <w:p w14:paraId="2D9C863D" w14:textId="77777777" w:rsidR="00816CA0" w:rsidRPr="00816CA0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Grade 9 (excellent): 85–94 points</w:t>
            </w:r>
          </w:p>
          <w:p w14:paraId="7C377B19" w14:textId="68D69E83" w:rsidR="00CB72ED" w:rsidRPr="00B96B4F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Grade 10 (outstanding): 95–100 points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6614CD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A6FD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0603E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74E94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939F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6C2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D508D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8BA98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DCD66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F1E9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E105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1D2735D" w14:textId="77777777" w:rsidR="00816CA0" w:rsidRPr="00816CA0" w:rsidRDefault="00607A6E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16CA0" w:rsidRPr="00816CA0">
              <w:rPr>
                <w:rFonts w:asciiTheme="majorHAnsi" w:hAnsiTheme="majorHAnsi" w:cs="Arial"/>
                <w:b/>
                <w:sz w:val="18"/>
                <w:szCs w:val="18"/>
              </w:rPr>
              <w:t>Dori, Y., Ngai, C., Szteinberg, G. (2023). Advances in Chemistry Education Series: Digital Learning and Teaching in Chemistry. Royal Society of Chemistry.</w:t>
            </w:r>
          </w:p>
          <w:p w14:paraId="1AF3B12F" w14:textId="31A0A5AE" w:rsidR="00CB72ED" w:rsidRPr="00B96B4F" w:rsidRDefault="00816CA0" w:rsidP="00816C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6CA0">
              <w:rPr>
                <w:rFonts w:asciiTheme="majorHAnsi" w:hAnsiTheme="majorHAnsi" w:cs="Arial"/>
                <w:b/>
                <w:sz w:val="18"/>
                <w:szCs w:val="18"/>
              </w:rPr>
              <w:t>Jensen, F. (2017). Introduction to Computational Chemistry (3rd ed.). Wiley,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A3A97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965C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36C62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0119C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AEAF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E96BD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7EEE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4512C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8A8321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964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C79E8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0EDCC69" w14:textId="2D8223F7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16CA0" w:rsidRPr="00816CA0">
              <w:rPr>
                <w:rFonts w:asciiTheme="majorHAnsi" w:hAnsiTheme="majorHAnsi" w:cs="Arial"/>
                <w:b/>
                <w:sz w:val="18"/>
                <w:szCs w:val="18"/>
              </w:rPr>
              <w:t>Atkins, P. W., Friedman, R. S. (2010). Molecular Quantum Mechanics (5th ed.). Oxford University Press, Oxford.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952EB1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1883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86C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7532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1E45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35CD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C901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F7199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10F0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E6311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131B4F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C9DEA49" w14:textId="77777777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FB94F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F8DF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A0DF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EA05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AEAE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0702B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3C8D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9D69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718DD9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9D8895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D2C508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14A9F6D" w14:textId="2A37B14B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816CA0">
              <w:rPr>
                <w:rFonts w:asciiTheme="majorHAnsi" w:hAnsiTheme="majorHAnsi" w:cs="Arial"/>
                <w:b/>
                <w:sz w:val="18"/>
                <w:szCs w:val="18"/>
              </w:rPr>
              <w:t>2024/25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35AA6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EDD9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552F8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B16D9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69648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E69FB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2DC73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CE104B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3BD65F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A1B5D1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A3D3D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5A53F326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B25A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EB25A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EB25A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EB25A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EB25A4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EB25A4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5ADC2EB6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502D38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87A5FA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9B5441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A01204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841524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CFDACD4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BF8D2F5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B9E5E" w14:textId="77777777" w:rsidR="008A50F3" w:rsidRDefault="008A50F3">
      <w:pPr>
        <w:spacing w:line="240" w:lineRule="auto"/>
      </w:pPr>
      <w:r>
        <w:separator/>
      </w:r>
    </w:p>
  </w:endnote>
  <w:endnote w:type="continuationSeparator" w:id="0">
    <w:p w14:paraId="04796383" w14:textId="77777777" w:rsidR="008A50F3" w:rsidRDefault="008A5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4CD82C41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778AF89C" w14:textId="6D16AF80" w:rsidR="00CB72ED" w:rsidRDefault="00607A6E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413F">
            <w:rPr>
              <w:rFonts w:ascii="Cambria" w:hAnsi="Cambria" w:cs="Calibri"/>
              <w:noProof/>
              <w:sz w:val="16"/>
              <w:szCs w:val="16"/>
            </w:rPr>
            <w:t>25.4.2026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970822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5C3E6B15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14:paraId="619EFF0F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2BABDB03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7AFDBF8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3A99C25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07A6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2E9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07A6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2E9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C269A59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19A56" w14:textId="77777777" w:rsidR="008A50F3" w:rsidRDefault="008A50F3">
      <w:pPr>
        <w:spacing w:after="0"/>
      </w:pPr>
      <w:r>
        <w:separator/>
      </w:r>
    </w:p>
  </w:footnote>
  <w:footnote w:type="continuationSeparator" w:id="0">
    <w:p w14:paraId="4BCCBF1F" w14:textId="77777777" w:rsidR="008A50F3" w:rsidRDefault="008A50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BB55" w14:textId="77777777" w:rsidR="00CB72ED" w:rsidRDefault="00CB72ED">
    <w:pPr>
      <w:pStyle w:val="Header"/>
    </w:pPr>
  </w:p>
  <w:p w14:paraId="0B3C5432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exEVq4ofZyGD6HdfVU4YGe+v0uc=" w:salt="8tFX8YnpaiG6y6Am886edA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86FD7"/>
    <w:rsid w:val="0048794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56A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A6E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8413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6CA0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15E0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A50F3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2E97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74D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67D7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25A4"/>
    <w:rsid w:val="00EB471F"/>
    <w:rsid w:val="00EB4EEE"/>
    <w:rsid w:val="00EC2FE4"/>
    <w:rsid w:val="00EC4257"/>
    <w:rsid w:val="00EC7227"/>
    <w:rsid w:val="00EE2B1A"/>
    <w:rsid w:val="00EE7522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3C25A"/>
  <w15:docId w15:val="{AFF05A12-3C39-4F3F-BAEB-6ACD209E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22</cp:revision>
  <cp:lastPrinted>2024-03-25T13:56:00Z</cp:lastPrinted>
  <dcterms:created xsi:type="dcterms:W3CDTF">2024-03-25T12:55:00Z</dcterms:created>
  <dcterms:modified xsi:type="dcterms:W3CDTF">2026-04-25T19:12:00Z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